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49A0D" w14:textId="77777777" w:rsidR="00A4484B" w:rsidRDefault="00000000" w:rsidP="00D6789A">
      <w:pPr>
        <w:pStyle w:val="Highlight"/>
      </w:pPr>
      <w:r>
        <w:rPr>
          <w:rStyle w:val="CBold"/>
          <w:noProof/>
        </w:rPr>
        <w:drawing>
          <wp:anchor distT="0" distB="0" distL="114300" distR="114300" simplePos="0" relativeHeight="251658240" behindDoc="0" locked="1" layoutInCell="1" allowOverlap="1" wp14:anchorId="7E3DA8FC" wp14:editId="1E88D44B">
            <wp:simplePos x="0" y="0"/>
            <wp:positionH relativeFrom="margin">
              <wp:posOffset>228600</wp:posOffset>
            </wp:positionH>
            <wp:positionV relativeFrom="margin">
              <wp:posOffset>1930400</wp:posOffset>
            </wp:positionV>
            <wp:extent cx="1645923" cy="1120142"/>
            <wp:effectExtent l="0" t="0" r="0" b="0"/>
            <wp:wrapNone/>
            <wp:docPr id="100010" name="Picture 100010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Bold"/>
        </w:rPr>
        <w:t>Aug. 16, 2022</w:t>
      </w:r>
      <w:r w:rsidR="00605F75" w:rsidRPr="00D6789A">
        <w:br/>
      </w:r>
      <w:r w:rsidR="00560DD0" w:rsidRPr="00D6789A">
        <w:t xml:space="preserve">The </w:t>
      </w:r>
      <w:r>
        <w:t>IRS released updated pay or play penalty amounts for 2023</w:t>
      </w:r>
      <w:r w:rsidRPr="00D6789A">
        <w:t>.</w:t>
      </w:r>
    </w:p>
    <w:p w14:paraId="45E694E7" w14:textId="77777777" w:rsidR="00C62ECB" w:rsidRDefault="00000000" w:rsidP="00C62ECB">
      <w:pPr>
        <w:pStyle w:val="Highlight"/>
      </w:pPr>
      <w:r>
        <w:rPr>
          <w:rStyle w:val="CBold"/>
        </w:rPr>
        <w:t>March 9, 202</w:t>
      </w:r>
      <w:r w:rsidR="0095313D">
        <w:rPr>
          <w:rStyle w:val="CBold"/>
        </w:rPr>
        <w:t>3</w:t>
      </w:r>
      <w:r w:rsidRPr="00D6789A">
        <w:br/>
        <w:t xml:space="preserve">The </w:t>
      </w:r>
      <w:r>
        <w:t>IRS released updated pay or play penalty amounts for 2024</w:t>
      </w:r>
      <w:r w:rsidRPr="00D6789A">
        <w:t>.</w:t>
      </w:r>
    </w:p>
    <w:p w14:paraId="39EB33E4" w14:textId="77777777" w:rsidR="00C62ECB" w:rsidRDefault="00000000" w:rsidP="00C62ECB">
      <w:pPr>
        <w:pStyle w:val="Highlight"/>
      </w:pPr>
      <w:r>
        <w:rPr>
          <w:rStyle w:val="CBold"/>
        </w:rPr>
        <w:t>2024 Calendar Year</w:t>
      </w:r>
      <w:r w:rsidRPr="00D6789A">
        <w:br/>
      </w:r>
      <w:r w:rsidR="007F13C2">
        <w:t>The 2024 penalty amounts apply</w:t>
      </w:r>
      <w:r>
        <w:t xml:space="preserve"> </w:t>
      </w:r>
      <w:r w:rsidR="00DD3A45">
        <w:t>for failures to offer affordable, minimum value coverage</w:t>
      </w:r>
      <w:r>
        <w:t xml:space="preserve"> during the 2024 calendar year</w:t>
      </w:r>
      <w:r w:rsidRPr="00D6789A">
        <w:t>.</w:t>
      </w:r>
    </w:p>
    <w:p w14:paraId="0F3280BB" w14:textId="77777777" w:rsidR="00551B36" w:rsidRDefault="00000000" w:rsidP="00E927E4">
      <w:pPr>
        <w:pStyle w:val="H1Title"/>
      </w:pPr>
      <w:r>
        <w:br w:type="column"/>
      </w:r>
      <w:r w:rsidR="00C62ECB">
        <w:t>ACA Pay or Play Penalties Will Increase for 2024</w:t>
      </w:r>
    </w:p>
    <w:p w14:paraId="1F8143AD" w14:textId="77777777" w:rsidR="001548E0" w:rsidRDefault="00000000" w:rsidP="00C6394F">
      <w:pPr>
        <w:pStyle w:val="ParagraphBasic"/>
      </w:pPr>
      <w:r w:rsidRPr="00C62ECB">
        <w:t xml:space="preserve">On March 9, 2023, the IRS </w:t>
      </w:r>
      <w:hyperlink r:id="rId8" w:history="1">
        <w:r w:rsidRPr="00C62ECB">
          <w:rPr>
            <w:rStyle w:val="Hyperlink"/>
          </w:rPr>
          <w:t>released</w:t>
        </w:r>
      </w:hyperlink>
      <w:r w:rsidRPr="00C62ECB">
        <w:t xml:space="preserve"> updated penalty amounts for 2024 related to the employer shared responsibility (pay or play) rules under the Affordable Care Act (ACA). For calendar year 2024, the adjusted $2,000 penalty amount is </w:t>
      </w:r>
      <w:r w:rsidRPr="00C62ECB">
        <w:rPr>
          <w:b/>
          <w:bCs/>
        </w:rPr>
        <w:t>$2,970</w:t>
      </w:r>
      <w:r w:rsidRPr="00C62ECB">
        <w:t xml:space="preserve"> and the adjusted $3,000 penalty amount is </w:t>
      </w:r>
      <w:r w:rsidRPr="00C62ECB">
        <w:rPr>
          <w:b/>
          <w:bCs/>
        </w:rPr>
        <w:t>$4,460</w:t>
      </w:r>
      <w:r w:rsidRPr="00C62ECB">
        <w:t>.</w:t>
      </w:r>
    </w:p>
    <w:p w14:paraId="3D0E1119" w14:textId="77777777" w:rsidR="00C62ECB" w:rsidRPr="00C62ECB" w:rsidRDefault="00000000" w:rsidP="004E0DAA">
      <w:pPr>
        <w:pStyle w:val="ColorSubheading"/>
        <w:rPr>
          <w:rStyle w:val="CBold"/>
          <w:b/>
          <w:bCs/>
        </w:rPr>
      </w:pPr>
      <w:r w:rsidRPr="00C62ECB">
        <w:rPr>
          <w:rStyle w:val="CBold"/>
          <w:b/>
          <w:bCs/>
        </w:rPr>
        <w:t>Pay or Play Penalty Calculations</w:t>
      </w:r>
    </w:p>
    <w:p w14:paraId="5FB2D056" w14:textId="77777777" w:rsidR="001C6D0D" w:rsidRDefault="00000000" w:rsidP="006A67D3">
      <w:pPr>
        <w:pStyle w:val="ParagraphBasic"/>
      </w:pPr>
      <w:r w:rsidRPr="00C62ECB">
        <w:t>Under the pay or play rules, an applicable large employer (ALE) is only liable for a penalty if at least one full-time employee receives a subsidy for Exchange coverage. Employees who are offered affordable, minimum value (MV) coverage are generally not eligible for these Exchange subsidies.</w:t>
      </w:r>
    </w:p>
    <w:p w14:paraId="69EF4E6D" w14:textId="77777777" w:rsidR="00C62ECB" w:rsidRDefault="00000000" w:rsidP="006A67D3">
      <w:pPr>
        <w:pStyle w:val="ParagraphBasic"/>
      </w:pPr>
      <w:r>
        <w:t xml:space="preserve">Depending on the circumstances, one </w:t>
      </w:r>
      <w:r w:rsidRPr="00C62ECB">
        <w:t xml:space="preserve">of two penalties may apply under the pay or play rules—the </w:t>
      </w:r>
      <w:r w:rsidRPr="00C62ECB">
        <w:rPr>
          <w:b/>
          <w:bCs/>
        </w:rPr>
        <w:t>4980H(a) penalty</w:t>
      </w:r>
      <w:r w:rsidRPr="00C62ECB">
        <w:t xml:space="preserve"> or the </w:t>
      </w:r>
      <w:r w:rsidRPr="00C62ECB">
        <w:rPr>
          <w:b/>
          <w:bCs/>
        </w:rPr>
        <w:t>4980H(b) penalty</w:t>
      </w:r>
      <w:r w:rsidRPr="00C62ECB">
        <w:t>.</w:t>
      </w:r>
    </w:p>
    <w:p w14:paraId="1CA0ADFA" w14:textId="77777777" w:rsidR="00C62ECB" w:rsidRDefault="00000000" w:rsidP="006A67D3">
      <w:pPr>
        <w:pStyle w:val="BList1"/>
      </w:pPr>
      <w:r>
        <w:t xml:space="preserve">Under </w:t>
      </w:r>
      <w:r w:rsidRPr="00C62ECB">
        <w:t xml:space="preserve">Section 4980H(a), an ALE will be subject to a penalty if it does not offer coverage to “substantially all” (generally, at least 95%) of its full-time employees (and dependents) and any one of its full-time employees receives a subsidy toward his or her Exchange plan. The monthly penalty assessed on ALEs that do not offer coverage to substantially all full-time employees and their dependents is equal to </w:t>
      </w:r>
      <w:r w:rsidRPr="003D5529">
        <w:rPr>
          <w:b/>
          <w:bCs/>
        </w:rPr>
        <w:t>the ALE’s number of full-time employees (minus 30) multiplied by 1/12 of $2,000 (as adjusted), for any applicable month</w:t>
      </w:r>
      <w:r w:rsidRPr="00C62ECB">
        <w:t>.</w:t>
      </w:r>
    </w:p>
    <w:p w14:paraId="5B3F0565" w14:textId="77777777" w:rsidR="00DD3A45" w:rsidRDefault="00DD3A45" w:rsidP="00DD3A45">
      <w:pPr>
        <w:pStyle w:val="BList1"/>
        <w:numPr>
          <w:ilvl w:val="0"/>
          <w:numId w:val="0"/>
        </w:numPr>
        <w:ind w:left="720"/>
      </w:pPr>
    </w:p>
    <w:p w14:paraId="1BBEC8AA" w14:textId="77777777" w:rsidR="00946A52" w:rsidRDefault="00000000" w:rsidP="006A67D3">
      <w:pPr>
        <w:pStyle w:val="BList1"/>
      </w:pPr>
      <w:r>
        <w:t xml:space="preserve">Under </w:t>
      </w:r>
      <w:r w:rsidRPr="00F12036">
        <w:t>Section 4980H(b), ALEs that offer coverage to substantially all full-time employees (and dependents) may still be subject to a penalty if at least one full-time employee obtains a subsidy through an Exchange because the ALE did not offer coverage to all full-time employees, or the ALE’s coverage</w:t>
      </w:r>
      <w:r>
        <w:t xml:space="preserve"> is unaffordable or does not provide MV. The monthly penalty assessed on an ALE for each full-time employee who receives a subsidy is </w:t>
      </w:r>
      <w:r w:rsidRPr="003D5529">
        <w:rPr>
          <w:b/>
          <w:bCs/>
        </w:rPr>
        <w:t>1/12 of $3,000 (as adjusted) for any applicable month</w:t>
      </w:r>
      <w:r>
        <w:t>. However, the total penalty for an ALE is limited to the 4980H(a) penalty amount.</w:t>
      </w:r>
    </w:p>
    <w:p w14:paraId="0124D47D" w14:textId="77777777" w:rsidR="004E0DAA" w:rsidRPr="004E0DAA" w:rsidRDefault="00000000" w:rsidP="004E0DAA">
      <w:pPr>
        <w:pStyle w:val="ColorSubheading"/>
        <w:rPr>
          <w:rStyle w:val="CBold"/>
          <w:b/>
          <w:bCs/>
        </w:rPr>
      </w:pPr>
      <w:r w:rsidRPr="004E0DAA">
        <w:rPr>
          <w:rStyle w:val="CBold"/>
          <w:b/>
          <w:bCs/>
        </w:rPr>
        <w:t xml:space="preserve">IRS </w:t>
      </w:r>
      <w:r>
        <w:rPr>
          <w:rStyle w:val="CBold"/>
          <w:b/>
          <w:bCs/>
        </w:rPr>
        <w:t xml:space="preserve">Pay or Play Penalty </w:t>
      </w:r>
      <w:r w:rsidRPr="004E0DAA">
        <w:rPr>
          <w:rStyle w:val="CBold"/>
          <w:b/>
          <w:bCs/>
        </w:rPr>
        <w:t>Resources</w:t>
      </w:r>
    </w:p>
    <w:p w14:paraId="7CF871C2" w14:textId="77777777" w:rsidR="003D5529" w:rsidRDefault="00000000" w:rsidP="00A5151A">
      <w:pPr>
        <w:pStyle w:val="ParagraphBasic"/>
      </w:pPr>
      <w:r w:rsidRPr="00A5151A">
        <w:t xml:space="preserve">The </w:t>
      </w:r>
      <w:r>
        <w:t xml:space="preserve">IRS provides a variety of resources on the pay or play provisions, which provide more information on calculating the penalty. </w:t>
      </w:r>
      <w:r w:rsidR="004E0DAA">
        <w:t>Employers can use t</w:t>
      </w:r>
      <w:r>
        <w:t xml:space="preserve">he following two </w:t>
      </w:r>
      <w:r w:rsidR="004E0DAA">
        <w:t xml:space="preserve">IRS </w:t>
      </w:r>
      <w:r>
        <w:t xml:space="preserve">webpages </w:t>
      </w:r>
      <w:r w:rsidR="004E0DAA">
        <w:t xml:space="preserve">for more details: </w:t>
      </w:r>
    </w:p>
    <w:p w14:paraId="62312213" w14:textId="77777777" w:rsidR="003D5529" w:rsidRDefault="00000000" w:rsidP="003D5529">
      <w:pPr>
        <w:pStyle w:val="BList1"/>
      </w:pPr>
      <w:hyperlink r:id="rId9" w:history="1">
        <w:r w:rsidRPr="003D5529">
          <w:rPr>
            <w:rStyle w:val="Hyperlink"/>
          </w:rPr>
          <w:t>Employer Shared Responsibility Provisions</w:t>
        </w:r>
      </w:hyperlink>
      <w:r>
        <w:t xml:space="preserve"> </w:t>
      </w:r>
    </w:p>
    <w:p w14:paraId="11F52F5D" w14:textId="77777777" w:rsidR="00952263" w:rsidRDefault="00000000" w:rsidP="003D5529">
      <w:pPr>
        <w:pStyle w:val="BList1"/>
      </w:pPr>
      <w:hyperlink r:id="rId10" w:history="1">
        <w:r w:rsidR="003D5529" w:rsidRPr="003D5529">
          <w:rPr>
            <w:rStyle w:val="Hyperlink"/>
          </w:rPr>
          <w:t>Types of Employer Payments and How They Are Calculated</w:t>
        </w:r>
      </w:hyperlink>
      <w:r w:rsidR="0005791D">
        <w:t xml:space="preserve"> </w:t>
      </w:r>
    </w:p>
    <w:p w14:paraId="0626AAF3" w14:textId="77777777" w:rsidR="004E0DAA" w:rsidRDefault="004E0DAA" w:rsidP="004E0DAA">
      <w:pPr>
        <w:pStyle w:val="BList1"/>
        <w:numPr>
          <w:ilvl w:val="0"/>
          <w:numId w:val="0"/>
        </w:numPr>
      </w:pPr>
    </w:p>
    <w:p w14:paraId="1478ED8B" w14:textId="77777777" w:rsidR="004E0DAA" w:rsidRPr="00136B67" w:rsidRDefault="00000000" w:rsidP="004E0DAA">
      <w:pPr>
        <w:pStyle w:val="BList1"/>
        <w:numPr>
          <w:ilvl w:val="0"/>
          <w:numId w:val="0"/>
        </w:numPr>
      </w:pPr>
      <w:r>
        <w:t>Additional webpages are dedicated to other aspects of the pay or play rules.</w:t>
      </w:r>
    </w:p>
    <w:sectPr w:rsidR="004E0DAA" w:rsidRPr="00136B67" w:rsidSect="008143E3">
      <w:headerReference w:type="default" r:id="rId11"/>
      <w:headerReference w:type="first" r:id="rId12"/>
      <w:pgSz w:w="12240" w:h="15840"/>
      <w:pgMar w:top="245" w:right="576" w:bottom="936" w:left="576" w:header="432" w:footer="576" w:gutter="0"/>
      <w:cols w:num="2" w:space="720" w:equalWidth="0">
        <w:col w:w="3168" w:space="720"/>
        <w:col w:w="7200" w:space="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90F86" w14:textId="77777777" w:rsidR="00842315" w:rsidRDefault="00842315">
      <w:pPr>
        <w:spacing w:after="0" w:line="240" w:lineRule="auto"/>
      </w:pPr>
      <w:r>
        <w:separator/>
      </w:r>
    </w:p>
  </w:endnote>
  <w:endnote w:type="continuationSeparator" w:id="0">
    <w:p w14:paraId="541D7B6F" w14:textId="77777777" w:rsidR="00842315" w:rsidRDefault="00842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7F078" w14:textId="77777777" w:rsidR="00842315" w:rsidRDefault="00842315">
      <w:pPr>
        <w:spacing w:after="0" w:line="240" w:lineRule="auto"/>
      </w:pPr>
      <w:r>
        <w:separator/>
      </w:r>
    </w:p>
  </w:footnote>
  <w:footnote w:type="continuationSeparator" w:id="0">
    <w:p w14:paraId="5F0C8321" w14:textId="77777777" w:rsidR="00842315" w:rsidRDefault="00842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9C171" w14:textId="77777777" w:rsidR="00782EF3" w:rsidRDefault="00000000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67B4AED" wp14:editId="52F63FB6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091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galUpda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69513" w14:textId="77777777" w:rsidR="00782EF3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BF70C3F" wp14:editId="5F9DB2A3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7761605" cy="100444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45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0AAE" wp14:editId="51358B87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2590800" cy="4501515"/>
              <wp:effectExtent l="0" t="0" r="0" b="0"/>
              <wp:wrapSquare wrapText="bothSides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90800" cy="4501661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2049" style="width:204pt;height:354.45pt;margin-top:-36pt;margin-left:0;mso-height-percent:0;mso-height-relative:margin;mso-position-horizontal:lef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659264" fillcolor="#ed7d31" stroked="f" strokeweight="1pt">
              <w10:wrap type="square"/>
            </v:rect>
          </w:pict>
        </mc:Fallback>
      </mc:AlternateContent>
    </w:r>
    <w:r w:rsidR="00FE137B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E369D7A" wp14:editId="60440638">
              <wp:simplePos x="0" y="0"/>
              <wp:positionH relativeFrom="margin">
                <wp:posOffset>-2247</wp:posOffset>
              </wp:positionH>
              <wp:positionV relativeFrom="paragraph">
                <wp:posOffset>-78105</wp:posOffset>
              </wp:positionV>
              <wp:extent cx="7181850" cy="266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185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EA771" w14:textId="77777777" w:rsidR="00475A7E" w:rsidRDefault="00000000" w:rsidP="00475A7E">
                          <w:r>
                            <w:t xml:space="preserve">Provided by </w:t>
                          </w:r>
                          <w:r w:rsidR="006B3E07">
                            <w:t>MST Insurance Solutions,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369D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2pt;margin-top:-6.15pt;width:565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" filled="f" stroked="f">
              <v:textbox>
                <w:txbxContent>
                  <w:p w14:paraId="1E0EA771" w14:textId="77777777" w:rsidR="00475A7E" w:rsidRDefault="00000000" w:rsidP="00475A7E">
                    <w:r>
                      <w:t xml:space="preserve">Provided by </w:t>
                    </w:r>
                    <w:r w:rsidR="006B3E07">
                      <w:t>MST Insurance Solutions, Inc.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E137B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AF7553" wp14:editId="6234C8F7">
              <wp:simplePos x="0" y="0"/>
              <wp:positionH relativeFrom="margin">
                <wp:posOffset>-72048</wp:posOffset>
              </wp:positionH>
              <wp:positionV relativeFrom="paragraph">
                <wp:posOffset>3677285</wp:posOffset>
              </wp:positionV>
              <wp:extent cx="2533650" cy="3429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192D16" w14:textId="77777777" w:rsidR="00D467DC" w:rsidRPr="00FE137B" w:rsidRDefault="00000000" w:rsidP="00C62ECB">
                          <w:pPr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E137B">
                            <w:rPr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IMPORTANT DATES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AF7553" id="_x0000_s1027" type="#_x0000_t202" style="position:absolute;margin-left:-5.65pt;margin-top:289.55pt;width:199.5pt;height:2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" filled="f" stroked="f">
              <v:textbox>
                <w:txbxContent>
                  <w:p w14:paraId="5E192D16" w14:textId="77777777" w:rsidR="00D467DC" w:rsidRPr="00FE137B" w:rsidRDefault="00000000" w:rsidP="00C62ECB">
                    <w:pPr>
                      <w:rPr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FE137B">
                      <w:rPr>
                        <w:b/>
                        <w:color w:val="FFFFFF" w:themeColor="background1"/>
                        <w:sz w:val="20"/>
                        <w:szCs w:val="20"/>
                      </w:rPr>
                      <w:t>IMPORTANT DATES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2BE68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772C6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7667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7842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1A2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3814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10FC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9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546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F099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829E9"/>
    <w:multiLevelType w:val="hybridMultilevel"/>
    <w:tmpl w:val="EB04A96E"/>
    <w:lvl w:ilvl="0" w:tplc="4D02C556">
      <w:start w:val="1"/>
      <w:numFmt w:val="bullet"/>
      <w:pStyle w:val="BList1BoldBeforeEmDash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plc="094AABD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11A744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21C86B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4FAB81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9347ED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C7D0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16E1688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D80FFE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362169E"/>
    <w:multiLevelType w:val="hybridMultilevel"/>
    <w:tmpl w:val="AFC6DCB4"/>
    <w:lvl w:ilvl="0" w:tplc="D1B22A32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4A7291"/>
        <w:sz w:val="20"/>
        <w:vertAlign w:val="baseline"/>
      </w:rPr>
    </w:lvl>
    <w:lvl w:ilvl="1" w:tplc="1F36E0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A4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4C2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CA63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66CC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696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ECCB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DC5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405FDC"/>
    <w:multiLevelType w:val="hybridMultilevel"/>
    <w:tmpl w:val="C59213F0"/>
    <w:lvl w:ilvl="0" w:tplc="E5B86F80">
      <w:start w:val="1"/>
      <w:numFmt w:val="bullet"/>
      <w:pStyle w:val="BList2"/>
      <w:lvlText w:val="o"/>
      <w:lvlJc w:val="left"/>
      <w:pPr>
        <w:ind w:left="1440" w:hanging="360"/>
      </w:pPr>
      <w:rPr>
        <w:rFonts w:ascii="Courier New" w:hAnsi="Courier New" w:hint="default"/>
        <w:b w:val="0"/>
        <w:i w:val="0"/>
      </w:rPr>
    </w:lvl>
    <w:lvl w:ilvl="1" w:tplc="05980C3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4F4FF5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E38A57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3444B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53E311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31056F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6ED9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6F63D3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972B16"/>
    <w:multiLevelType w:val="hybridMultilevel"/>
    <w:tmpl w:val="3970C6DA"/>
    <w:lvl w:ilvl="0" w:tplc="2A207410">
      <w:start w:val="1"/>
      <w:numFmt w:val="decimal"/>
      <w:pStyle w:val="NList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4A7291"/>
      </w:rPr>
    </w:lvl>
    <w:lvl w:ilvl="1" w:tplc="2C40EB50" w:tentative="1">
      <w:start w:val="1"/>
      <w:numFmt w:val="lowerLetter"/>
      <w:lvlText w:val="%2."/>
      <w:lvlJc w:val="left"/>
      <w:pPr>
        <w:ind w:left="1440" w:hanging="360"/>
      </w:pPr>
    </w:lvl>
    <w:lvl w:ilvl="2" w:tplc="E64CA00A" w:tentative="1">
      <w:start w:val="1"/>
      <w:numFmt w:val="lowerRoman"/>
      <w:lvlText w:val="%3."/>
      <w:lvlJc w:val="right"/>
      <w:pPr>
        <w:ind w:left="2160" w:hanging="180"/>
      </w:pPr>
    </w:lvl>
    <w:lvl w:ilvl="3" w:tplc="25521A8A" w:tentative="1">
      <w:start w:val="1"/>
      <w:numFmt w:val="decimal"/>
      <w:lvlText w:val="%4."/>
      <w:lvlJc w:val="left"/>
      <w:pPr>
        <w:ind w:left="2880" w:hanging="360"/>
      </w:pPr>
    </w:lvl>
    <w:lvl w:ilvl="4" w:tplc="A000B9A0" w:tentative="1">
      <w:start w:val="1"/>
      <w:numFmt w:val="lowerLetter"/>
      <w:lvlText w:val="%5."/>
      <w:lvlJc w:val="left"/>
      <w:pPr>
        <w:ind w:left="3600" w:hanging="360"/>
      </w:pPr>
    </w:lvl>
    <w:lvl w:ilvl="5" w:tplc="C720B2D8" w:tentative="1">
      <w:start w:val="1"/>
      <w:numFmt w:val="lowerRoman"/>
      <w:lvlText w:val="%6."/>
      <w:lvlJc w:val="right"/>
      <w:pPr>
        <w:ind w:left="4320" w:hanging="180"/>
      </w:pPr>
    </w:lvl>
    <w:lvl w:ilvl="6" w:tplc="A78AD3A4" w:tentative="1">
      <w:start w:val="1"/>
      <w:numFmt w:val="decimal"/>
      <w:lvlText w:val="%7."/>
      <w:lvlJc w:val="left"/>
      <w:pPr>
        <w:ind w:left="5040" w:hanging="360"/>
      </w:pPr>
    </w:lvl>
    <w:lvl w:ilvl="7" w:tplc="B1F47024" w:tentative="1">
      <w:start w:val="1"/>
      <w:numFmt w:val="lowerLetter"/>
      <w:lvlText w:val="%8."/>
      <w:lvlJc w:val="left"/>
      <w:pPr>
        <w:ind w:left="5760" w:hanging="360"/>
      </w:pPr>
    </w:lvl>
    <w:lvl w:ilvl="8" w:tplc="8BE0B4A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2237097">
    <w:abstractNumId w:val="11"/>
  </w:num>
  <w:num w:numId="2" w16cid:durableId="1214735443">
    <w:abstractNumId w:val="9"/>
  </w:num>
  <w:num w:numId="3" w16cid:durableId="1507668615">
    <w:abstractNumId w:val="7"/>
  </w:num>
  <w:num w:numId="4" w16cid:durableId="148520155">
    <w:abstractNumId w:val="6"/>
  </w:num>
  <w:num w:numId="5" w16cid:durableId="168832149">
    <w:abstractNumId w:val="5"/>
  </w:num>
  <w:num w:numId="6" w16cid:durableId="1902591838">
    <w:abstractNumId w:val="4"/>
  </w:num>
  <w:num w:numId="7" w16cid:durableId="677537832">
    <w:abstractNumId w:val="8"/>
  </w:num>
  <w:num w:numId="8" w16cid:durableId="553810433">
    <w:abstractNumId w:val="3"/>
  </w:num>
  <w:num w:numId="9" w16cid:durableId="346296551">
    <w:abstractNumId w:val="2"/>
  </w:num>
  <w:num w:numId="10" w16cid:durableId="1996640566">
    <w:abstractNumId w:val="1"/>
  </w:num>
  <w:num w:numId="11" w16cid:durableId="843324746">
    <w:abstractNumId w:val="0"/>
  </w:num>
  <w:num w:numId="12" w16cid:durableId="695621585">
    <w:abstractNumId w:val="13"/>
  </w:num>
  <w:num w:numId="13" w16cid:durableId="1832407943">
    <w:abstractNumId w:val="12"/>
  </w:num>
  <w:num w:numId="14" w16cid:durableId="7805340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ECB"/>
    <w:rsid w:val="0005791D"/>
    <w:rsid w:val="000627C5"/>
    <w:rsid w:val="00084F7F"/>
    <w:rsid w:val="000A0664"/>
    <w:rsid w:val="000B183B"/>
    <w:rsid w:val="000D424F"/>
    <w:rsid w:val="000D71A0"/>
    <w:rsid w:val="000F6CE4"/>
    <w:rsid w:val="00136B67"/>
    <w:rsid w:val="00140C18"/>
    <w:rsid w:val="001548E0"/>
    <w:rsid w:val="00173EE7"/>
    <w:rsid w:val="001840C5"/>
    <w:rsid w:val="001C6408"/>
    <w:rsid w:val="001C6D0D"/>
    <w:rsid w:val="001D5B9B"/>
    <w:rsid w:val="001D7290"/>
    <w:rsid w:val="001E200D"/>
    <w:rsid w:val="001F4B0E"/>
    <w:rsid w:val="0020275E"/>
    <w:rsid w:val="00221046"/>
    <w:rsid w:val="0022190A"/>
    <w:rsid w:val="00221DA5"/>
    <w:rsid w:val="00222A90"/>
    <w:rsid w:val="002252C5"/>
    <w:rsid w:val="00231F45"/>
    <w:rsid w:val="00256058"/>
    <w:rsid w:val="00260469"/>
    <w:rsid w:val="00266152"/>
    <w:rsid w:val="002879E8"/>
    <w:rsid w:val="002B6E4D"/>
    <w:rsid w:val="002D726E"/>
    <w:rsid w:val="00326B68"/>
    <w:rsid w:val="00343CF7"/>
    <w:rsid w:val="00350D4D"/>
    <w:rsid w:val="00386453"/>
    <w:rsid w:val="003C34DD"/>
    <w:rsid w:val="003D5529"/>
    <w:rsid w:val="003E30B4"/>
    <w:rsid w:val="003E5726"/>
    <w:rsid w:val="003F56A0"/>
    <w:rsid w:val="0041046A"/>
    <w:rsid w:val="00416F1B"/>
    <w:rsid w:val="0042782F"/>
    <w:rsid w:val="004333C0"/>
    <w:rsid w:val="00433561"/>
    <w:rsid w:val="00447766"/>
    <w:rsid w:val="00455C2F"/>
    <w:rsid w:val="00462990"/>
    <w:rsid w:val="00475A7E"/>
    <w:rsid w:val="00482F13"/>
    <w:rsid w:val="00492702"/>
    <w:rsid w:val="004B3726"/>
    <w:rsid w:val="004B6CD1"/>
    <w:rsid w:val="004E0DAA"/>
    <w:rsid w:val="00503554"/>
    <w:rsid w:val="00521357"/>
    <w:rsid w:val="00551B36"/>
    <w:rsid w:val="0055715E"/>
    <w:rsid w:val="00560DD0"/>
    <w:rsid w:val="00577A0D"/>
    <w:rsid w:val="00585D6C"/>
    <w:rsid w:val="005C130B"/>
    <w:rsid w:val="005C1DD3"/>
    <w:rsid w:val="005C59D5"/>
    <w:rsid w:val="005D658A"/>
    <w:rsid w:val="005E1960"/>
    <w:rsid w:val="00600E1D"/>
    <w:rsid w:val="00605F75"/>
    <w:rsid w:val="00651D7A"/>
    <w:rsid w:val="00663230"/>
    <w:rsid w:val="0066477A"/>
    <w:rsid w:val="00684CFE"/>
    <w:rsid w:val="00690B55"/>
    <w:rsid w:val="00693AA1"/>
    <w:rsid w:val="006A67D3"/>
    <w:rsid w:val="006B3E07"/>
    <w:rsid w:val="00705413"/>
    <w:rsid w:val="00720160"/>
    <w:rsid w:val="00726BBE"/>
    <w:rsid w:val="00736A6C"/>
    <w:rsid w:val="0076158A"/>
    <w:rsid w:val="007679EA"/>
    <w:rsid w:val="00782EF3"/>
    <w:rsid w:val="007A133B"/>
    <w:rsid w:val="007A3DE6"/>
    <w:rsid w:val="007A4C1B"/>
    <w:rsid w:val="007A630A"/>
    <w:rsid w:val="007A7307"/>
    <w:rsid w:val="007B3910"/>
    <w:rsid w:val="007B45C2"/>
    <w:rsid w:val="007E49FC"/>
    <w:rsid w:val="007F13C2"/>
    <w:rsid w:val="007F2B5B"/>
    <w:rsid w:val="00806596"/>
    <w:rsid w:val="008143E3"/>
    <w:rsid w:val="00842315"/>
    <w:rsid w:val="00872A95"/>
    <w:rsid w:val="00894E3D"/>
    <w:rsid w:val="008979C1"/>
    <w:rsid w:val="00897A62"/>
    <w:rsid w:val="008C7483"/>
    <w:rsid w:val="008D591A"/>
    <w:rsid w:val="008F49E0"/>
    <w:rsid w:val="00902980"/>
    <w:rsid w:val="00904E1C"/>
    <w:rsid w:val="009323F1"/>
    <w:rsid w:val="00946A52"/>
    <w:rsid w:val="00952263"/>
    <w:rsid w:val="0095313D"/>
    <w:rsid w:val="00970843"/>
    <w:rsid w:val="00972CCE"/>
    <w:rsid w:val="009745FF"/>
    <w:rsid w:val="009B4B7C"/>
    <w:rsid w:val="009C51DA"/>
    <w:rsid w:val="009C6F91"/>
    <w:rsid w:val="009E0E21"/>
    <w:rsid w:val="00A04390"/>
    <w:rsid w:val="00A16818"/>
    <w:rsid w:val="00A223CA"/>
    <w:rsid w:val="00A4484B"/>
    <w:rsid w:val="00A5151A"/>
    <w:rsid w:val="00A52335"/>
    <w:rsid w:val="00A52CF5"/>
    <w:rsid w:val="00A53C6E"/>
    <w:rsid w:val="00A93A5A"/>
    <w:rsid w:val="00AB4D04"/>
    <w:rsid w:val="00AB5B5A"/>
    <w:rsid w:val="00AC0810"/>
    <w:rsid w:val="00AC5367"/>
    <w:rsid w:val="00AF4382"/>
    <w:rsid w:val="00AF6484"/>
    <w:rsid w:val="00B237CB"/>
    <w:rsid w:val="00B50A0D"/>
    <w:rsid w:val="00B87B65"/>
    <w:rsid w:val="00BA1FCF"/>
    <w:rsid w:val="00BA66AC"/>
    <w:rsid w:val="00BE1B34"/>
    <w:rsid w:val="00BF2398"/>
    <w:rsid w:val="00C00F66"/>
    <w:rsid w:val="00C62437"/>
    <w:rsid w:val="00C62ECB"/>
    <w:rsid w:val="00C6394F"/>
    <w:rsid w:val="00C7495F"/>
    <w:rsid w:val="00C839AD"/>
    <w:rsid w:val="00CA4024"/>
    <w:rsid w:val="00CB721D"/>
    <w:rsid w:val="00CB7CF5"/>
    <w:rsid w:val="00CC506A"/>
    <w:rsid w:val="00CD12BB"/>
    <w:rsid w:val="00CE3EF4"/>
    <w:rsid w:val="00CE4FE1"/>
    <w:rsid w:val="00D36E09"/>
    <w:rsid w:val="00D467DC"/>
    <w:rsid w:val="00D6789A"/>
    <w:rsid w:val="00D77973"/>
    <w:rsid w:val="00D91159"/>
    <w:rsid w:val="00D96919"/>
    <w:rsid w:val="00DA4D36"/>
    <w:rsid w:val="00DD3789"/>
    <w:rsid w:val="00DD3A45"/>
    <w:rsid w:val="00DF11EC"/>
    <w:rsid w:val="00E25681"/>
    <w:rsid w:val="00E27CB0"/>
    <w:rsid w:val="00E4419C"/>
    <w:rsid w:val="00E81632"/>
    <w:rsid w:val="00E87F0B"/>
    <w:rsid w:val="00E927E4"/>
    <w:rsid w:val="00EF5DDC"/>
    <w:rsid w:val="00F038F5"/>
    <w:rsid w:val="00F12036"/>
    <w:rsid w:val="00F4445D"/>
    <w:rsid w:val="00FD16B6"/>
    <w:rsid w:val="00FD6AFD"/>
    <w:rsid w:val="00FE137B"/>
    <w:rsid w:val="00FF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1F951"/>
  <w15:chartTrackingRefBased/>
  <w15:docId w15:val="{65D0801E-4351-48F1-8812-016440C0D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asic Paragraph"/>
    <w:semiHidden/>
    <w:qFormat/>
    <w:rsid w:val="00AB5B5A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26046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6046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046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046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046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46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46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46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46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2Subhead">
    <w:name w:val="H2 Subhead"/>
    <w:basedOn w:val="Normal"/>
    <w:link w:val="H2SubheadChar"/>
    <w:qFormat/>
    <w:rsid w:val="0076158A"/>
    <w:rPr>
      <w:b/>
    </w:rPr>
  </w:style>
  <w:style w:type="paragraph" w:customStyle="1" w:styleId="H1Title">
    <w:name w:val="H1 Title"/>
    <w:basedOn w:val="Normal"/>
    <w:link w:val="H1TitleChar"/>
    <w:qFormat/>
    <w:rsid w:val="001F4B0E"/>
    <w:pPr>
      <w:spacing w:line="204" w:lineRule="auto"/>
    </w:pPr>
    <w:rPr>
      <w:b/>
      <w:color w:val="4A7291"/>
      <w:sz w:val="44"/>
    </w:rPr>
  </w:style>
  <w:style w:type="character" w:customStyle="1" w:styleId="H2SubheadChar">
    <w:name w:val="H2 Subhead Char"/>
    <w:basedOn w:val="DefaultParagraphFont"/>
    <w:link w:val="H2Subhead"/>
    <w:rsid w:val="000B183B"/>
    <w:rPr>
      <w:b/>
    </w:rPr>
  </w:style>
  <w:style w:type="paragraph" w:customStyle="1" w:styleId="Highlight">
    <w:name w:val="* Highlight"/>
    <w:basedOn w:val="Normal"/>
    <w:link w:val="HighlightChar"/>
    <w:qFormat/>
    <w:rsid w:val="00D36E09"/>
    <w:pPr>
      <w:spacing w:after="240"/>
    </w:pPr>
  </w:style>
  <w:style w:type="character" w:customStyle="1" w:styleId="H1TitleChar">
    <w:name w:val="H1 Title Char"/>
    <w:basedOn w:val="DefaultParagraphFont"/>
    <w:link w:val="H1Title"/>
    <w:rsid w:val="001F4B0E"/>
    <w:rPr>
      <w:b/>
      <w:color w:val="4A7291"/>
      <w:sz w:val="44"/>
    </w:rPr>
  </w:style>
  <w:style w:type="table" w:styleId="TableGrid">
    <w:name w:val="Table Grid"/>
    <w:basedOn w:val="TableNormal"/>
    <w:uiPriority w:val="39"/>
    <w:locked/>
    <w:rsid w:val="00BA6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Char">
    <w:name w:val="* Highlight Char"/>
    <w:basedOn w:val="DefaultParagraphFont"/>
    <w:link w:val="Highlight"/>
    <w:rsid w:val="00D36E09"/>
  </w:style>
  <w:style w:type="table" w:styleId="GridTable1Light-Accent1">
    <w:name w:val="Grid Table 1 Light Accent 1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A66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mportantDate">
    <w:name w:val="* Important Date"/>
    <w:basedOn w:val="Highlight"/>
    <w:link w:val="ImportantDateChar"/>
    <w:rsid w:val="00605F75"/>
  </w:style>
  <w:style w:type="character" w:customStyle="1" w:styleId="ImportantDateChar">
    <w:name w:val="* Important Date Char"/>
    <w:basedOn w:val="HighlightChar"/>
    <w:link w:val="ImportantDate"/>
    <w:rsid w:val="000B183B"/>
  </w:style>
  <w:style w:type="paragraph" w:styleId="ListParagraph">
    <w:name w:val="List Paragraph"/>
    <w:basedOn w:val="Normal"/>
    <w:link w:val="ListParagraphChar"/>
    <w:uiPriority w:val="34"/>
    <w:semiHidden/>
    <w:qFormat/>
    <w:rsid w:val="001548E0"/>
    <w:pPr>
      <w:ind w:left="720"/>
      <w:contextualSpacing/>
    </w:pPr>
  </w:style>
  <w:style w:type="paragraph" w:customStyle="1" w:styleId="BList1">
    <w:name w:val="BList 1"/>
    <w:basedOn w:val="ListParagraph"/>
    <w:link w:val="BList1Char"/>
    <w:qFormat/>
    <w:rsid w:val="00433561"/>
    <w:pPr>
      <w:numPr>
        <w:numId w:val="1"/>
      </w:numPr>
      <w:spacing w:before="120" w:after="180"/>
    </w:pPr>
  </w:style>
  <w:style w:type="paragraph" w:customStyle="1" w:styleId="BList1BoldBeforeEmDash">
    <w:name w:val="BList 1 BoldBeforeEmDash"/>
    <w:basedOn w:val="BList1"/>
    <w:link w:val="BList1BoldBeforeEmDashChar"/>
    <w:qFormat/>
    <w:rsid w:val="00433561"/>
    <w:pPr>
      <w:numPr>
        <w:numId w:val="14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0B183B"/>
  </w:style>
  <w:style w:type="character" w:customStyle="1" w:styleId="BList1Char">
    <w:name w:val="BList 1 Char"/>
    <w:basedOn w:val="ListParagraphChar"/>
    <w:link w:val="BList1"/>
    <w:rsid w:val="00A52CF5"/>
  </w:style>
  <w:style w:type="character" w:customStyle="1" w:styleId="CBold">
    <w:name w:val="CBold"/>
    <w:basedOn w:val="DefaultParagraphFont"/>
    <w:qFormat/>
    <w:rsid w:val="001F4B0E"/>
    <w:rPr>
      <w:b/>
      <w:color w:val="4A7291"/>
    </w:rPr>
  </w:style>
  <w:style w:type="character" w:customStyle="1" w:styleId="BList1BoldBeforeEmDashChar">
    <w:name w:val="BList 1 BoldBeforeEmDash Char"/>
    <w:basedOn w:val="BList1Char"/>
    <w:link w:val="BList1BoldBeforeEmDash"/>
    <w:rsid w:val="00F12036"/>
  </w:style>
  <w:style w:type="character" w:customStyle="1" w:styleId="Heading2Char">
    <w:name w:val="Heading 2 Char"/>
    <w:basedOn w:val="DefaultParagraphFont"/>
    <w:link w:val="Heading2"/>
    <w:uiPriority w:val="9"/>
    <w:semiHidden/>
    <w:rsid w:val="000B183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0B183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046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046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046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46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46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469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26046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B183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26046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B183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semiHidden/>
    <w:qFormat/>
    <w:rsid w:val="00260469"/>
    <w:rPr>
      <w:b/>
      <w:bCs/>
    </w:rPr>
  </w:style>
  <w:style w:type="character" w:styleId="Emphasis">
    <w:name w:val="Emphasis"/>
    <w:basedOn w:val="DefaultParagraphFont"/>
    <w:uiPriority w:val="20"/>
    <w:semiHidden/>
    <w:qFormat/>
    <w:rsid w:val="00260469"/>
    <w:rPr>
      <w:i/>
      <w:iCs/>
    </w:rPr>
  </w:style>
  <w:style w:type="paragraph" w:styleId="NoSpacing">
    <w:name w:val="No Spacing"/>
    <w:uiPriority w:val="1"/>
    <w:semiHidden/>
    <w:qFormat/>
    <w:rsid w:val="0026046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semiHidden/>
    <w:qFormat/>
    <w:rsid w:val="0026046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B183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26046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B183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semiHidden/>
    <w:qFormat/>
    <w:rsid w:val="0026046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qFormat/>
    <w:rsid w:val="0026046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semiHidden/>
    <w:qFormat/>
    <w:rsid w:val="00260469"/>
    <w:rPr>
      <w:smallCaps/>
      <w:color w:val="404040" w:themeColor="text1" w:themeTint="BF"/>
      <w:u w:val="single" w:color="7F7F7F"/>
    </w:rPr>
  </w:style>
  <w:style w:type="character" w:styleId="IntenseReference">
    <w:name w:val="Intense Reference"/>
    <w:basedOn w:val="DefaultParagraphFont"/>
    <w:uiPriority w:val="32"/>
    <w:semiHidden/>
    <w:qFormat/>
    <w:rsid w:val="0026046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semiHidden/>
    <w:qFormat/>
    <w:rsid w:val="00260469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0469"/>
    <w:pPr>
      <w:outlineLvl w:val="9"/>
    </w:pPr>
  </w:style>
  <w:style w:type="table" w:customStyle="1" w:styleId="TableGrid1">
    <w:name w:val="Table Grid1"/>
    <w:basedOn w:val="TableNormal"/>
    <w:next w:val="TableGrid"/>
    <w:uiPriority w:val="39"/>
    <w:rsid w:val="0025605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Basic">
    <w:name w:val="Paragraph Basic"/>
    <w:basedOn w:val="Normal"/>
    <w:link w:val="ParagraphBasicChar"/>
    <w:qFormat/>
    <w:rsid w:val="001E200D"/>
    <w:pPr>
      <w:spacing w:after="240" w:line="264" w:lineRule="auto"/>
    </w:pPr>
  </w:style>
  <w:style w:type="character" w:customStyle="1" w:styleId="ParagraphBasicChar">
    <w:name w:val="Paragraph Basic Char"/>
    <w:basedOn w:val="DefaultParagraphFont"/>
    <w:link w:val="ParagraphBasic"/>
    <w:rsid w:val="001E200D"/>
  </w:style>
  <w:style w:type="paragraph" w:customStyle="1" w:styleId="NList1">
    <w:name w:val="NList 1"/>
    <w:basedOn w:val="Normal"/>
    <w:link w:val="NList1Char"/>
    <w:qFormat/>
    <w:rsid w:val="00BA1FCF"/>
    <w:pPr>
      <w:numPr>
        <w:numId w:val="12"/>
      </w:numPr>
      <w:spacing w:before="240" w:after="360"/>
      <w:contextualSpacing/>
    </w:pPr>
    <w:rPr>
      <w:lang w:val="es-ES"/>
    </w:rPr>
  </w:style>
  <w:style w:type="character" w:customStyle="1" w:styleId="NList1Char">
    <w:name w:val="NList 1 Char"/>
    <w:basedOn w:val="DefaultParagraphFont"/>
    <w:link w:val="NList1"/>
    <w:rsid w:val="0022190A"/>
    <w:rPr>
      <w:lang w:val="es-ES"/>
    </w:rPr>
  </w:style>
  <w:style w:type="paragraph" w:customStyle="1" w:styleId="THeader">
    <w:name w:val="T Header"/>
    <w:basedOn w:val="Normal"/>
    <w:link w:val="THeaderChar"/>
    <w:qFormat/>
    <w:rsid w:val="007A4C1B"/>
    <w:pPr>
      <w:spacing w:after="0" w:line="240" w:lineRule="auto"/>
    </w:pPr>
    <w:rPr>
      <w:b/>
      <w:color w:val="FFFFFF" w:themeColor="background1"/>
    </w:rPr>
  </w:style>
  <w:style w:type="paragraph" w:customStyle="1" w:styleId="TRow">
    <w:name w:val="T Row"/>
    <w:basedOn w:val="Normal"/>
    <w:link w:val="TRowChar"/>
    <w:qFormat/>
    <w:rsid w:val="007A4C1B"/>
    <w:pPr>
      <w:spacing w:after="0" w:line="240" w:lineRule="auto"/>
    </w:pPr>
    <w:rPr>
      <w:b/>
      <w:color w:val="4A7291"/>
    </w:rPr>
  </w:style>
  <w:style w:type="character" w:customStyle="1" w:styleId="THeaderChar">
    <w:name w:val="T Header Char"/>
    <w:basedOn w:val="DefaultParagraphFont"/>
    <w:link w:val="THeader"/>
    <w:rsid w:val="007A4C1B"/>
    <w:rPr>
      <w:b/>
      <w:color w:val="FFFFFF" w:themeColor="background1"/>
    </w:rPr>
  </w:style>
  <w:style w:type="character" w:customStyle="1" w:styleId="TRowChar">
    <w:name w:val="T Row Char"/>
    <w:basedOn w:val="DefaultParagraphFont"/>
    <w:link w:val="TRow"/>
    <w:rsid w:val="007A4C1B"/>
    <w:rPr>
      <w:b/>
      <w:color w:val="4A7291"/>
    </w:rPr>
  </w:style>
  <w:style w:type="paragraph" w:styleId="Header">
    <w:name w:val="header"/>
    <w:basedOn w:val="Normal"/>
    <w:link w:val="Head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D7A"/>
  </w:style>
  <w:style w:type="paragraph" w:styleId="Footer">
    <w:name w:val="footer"/>
    <w:basedOn w:val="Normal"/>
    <w:link w:val="FooterChar"/>
    <w:uiPriority w:val="99"/>
    <w:unhideWhenUsed/>
    <w:rsid w:val="00651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D7A"/>
  </w:style>
  <w:style w:type="paragraph" w:customStyle="1" w:styleId="HighlightSpacer">
    <w:name w:val="* HighlightSpacer"/>
    <w:basedOn w:val="Highlight"/>
    <w:link w:val="HighlightSpacerChar"/>
    <w:rsid w:val="00D91159"/>
    <w:pPr>
      <w:spacing w:after="120" w:line="120" w:lineRule="auto"/>
    </w:pPr>
  </w:style>
  <w:style w:type="character" w:customStyle="1" w:styleId="BoldColor">
    <w:name w:val="BoldColor"/>
    <w:basedOn w:val="DefaultParagraphFont"/>
    <w:uiPriority w:val="1"/>
    <w:qFormat/>
    <w:rsid w:val="00FD6AFD"/>
    <w:rPr>
      <w:b/>
      <w:color w:val="4A7291"/>
    </w:rPr>
  </w:style>
  <w:style w:type="character" w:customStyle="1" w:styleId="HighlightSpacerChar">
    <w:name w:val="* HighlightSpacer Char"/>
    <w:basedOn w:val="HighlightChar"/>
    <w:link w:val="HighlightSpacer"/>
    <w:rsid w:val="00D91159"/>
  </w:style>
  <w:style w:type="paragraph" w:customStyle="1" w:styleId="BList2">
    <w:name w:val="BList 2"/>
    <w:basedOn w:val="BList1"/>
    <w:link w:val="BList2Char"/>
    <w:qFormat/>
    <w:rsid w:val="009323F1"/>
    <w:pPr>
      <w:numPr>
        <w:numId w:val="13"/>
      </w:numPr>
      <w:spacing w:before="0" w:after="240"/>
    </w:pPr>
  </w:style>
  <w:style w:type="character" w:customStyle="1" w:styleId="BList2Char">
    <w:name w:val="BList 2 Char"/>
    <w:basedOn w:val="BList1Char"/>
    <w:link w:val="BList2"/>
    <w:rsid w:val="000A0664"/>
  </w:style>
  <w:style w:type="character" w:customStyle="1" w:styleId="PBold">
    <w:name w:val="PBold"/>
    <w:basedOn w:val="CBold"/>
    <w:uiPriority w:val="1"/>
    <w:qFormat/>
    <w:rsid w:val="005C1DD3"/>
    <w:rPr>
      <w:b/>
      <w:color w:val="auto"/>
    </w:rPr>
  </w:style>
  <w:style w:type="paragraph" w:customStyle="1" w:styleId="ColorSubheading">
    <w:name w:val="Color Subheading"/>
    <w:basedOn w:val="ParagraphBasic"/>
    <w:next w:val="ParagraphBasic"/>
    <w:link w:val="ColorSubheadingChar"/>
    <w:autoRedefine/>
    <w:qFormat/>
    <w:rsid w:val="004E0DAA"/>
    <w:pPr>
      <w:spacing w:after="120"/>
    </w:pPr>
    <w:rPr>
      <w:b/>
      <w:color w:val="4A7291"/>
      <w:sz w:val="28"/>
    </w:rPr>
  </w:style>
  <w:style w:type="character" w:customStyle="1" w:styleId="ColorSubheadingChar">
    <w:name w:val="Color Subheading Char"/>
    <w:basedOn w:val="ParagraphBasicChar"/>
    <w:link w:val="ColorSubheading"/>
    <w:rsid w:val="004E0DAA"/>
    <w:rPr>
      <w:b/>
      <w:color w:val="4A7291"/>
      <w:sz w:val="28"/>
    </w:rPr>
  </w:style>
  <w:style w:type="character" w:styleId="Hyperlink">
    <w:name w:val="Hyperlink"/>
    <w:basedOn w:val="DefaultParagraphFont"/>
    <w:uiPriority w:val="99"/>
    <w:unhideWhenUsed/>
    <w:rsid w:val="00C62E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E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3D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s.gov/pub/irs-drop/rp-23-17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hyperlink" Target="https://www.irs.gov/affordable-care-act/employers/types-of-employer-payments-and-how-they-are-calculat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rs.gov/affordable-care-act/employers/employer-shared-responsibility-provis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BFF1F985E8D844B425CB4B825FE4FC" ma:contentTypeVersion="7" ma:contentTypeDescription="Create a new document." ma:contentTypeScope="" ma:versionID="14946c3132b76e690439ee91aae1bbf2">
  <xsd:schema xmlns:xsd="http://www.w3.org/2001/XMLSchema" xmlns:xs="http://www.w3.org/2001/XMLSchema" xmlns:p="http://schemas.microsoft.com/office/2006/metadata/properties" xmlns:ns2="a587d568-e39f-4ea7-ac93-45003e81a18d" xmlns:ns3="44831294-e888-4ae6-8770-44a3fe8f8627" targetNamespace="http://schemas.microsoft.com/office/2006/metadata/properties" ma:root="true" ma:fieldsID="a0ba60ce10e174f4cfde4f43372c9bf9" ns2:_="" ns3:_="">
    <xsd:import namespace="a587d568-e39f-4ea7-ac93-45003e81a18d"/>
    <xsd:import namespace="44831294-e888-4ae6-8770-44a3fe8f86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7d568-e39f-4ea7-ac93-45003e81a1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31294-e888-4ae6-8770-44a3fe8f8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3A288-FC01-4294-A6F2-224C17901963}"/>
</file>

<file path=customXml/itemProps2.xml><?xml version="1.0" encoding="utf-8"?>
<ds:datastoreItem xmlns:ds="http://schemas.openxmlformats.org/officeDocument/2006/customXml" ds:itemID="{B30E6D5C-89FA-447C-A3D9-7FB89E43EED5}"/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Hanrahan, Nicole</dc:creator>
  <cp:lastModifiedBy>Jennifer Builta</cp:lastModifiedBy>
  <cp:revision>2</cp:revision>
  <dcterms:created xsi:type="dcterms:W3CDTF">2023-03-13T17:54:00Z</dcterms:created>
  <dcterms:modified xsi:type="dcterms:W3CDTF">2023-03-13T17:54:00Z</dcterms:modified>
</cp:coreProperties>
</file>